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15"/>
        <w:jc w:val="center"/>
        <w:rPr>
          <w:rFonts w:ascii="Arial" w:hAnsi="Arial" w:eastAsia="Times New Roman" w:cs="Arial"/>
          <w:color w:val="2D2D2D"/>
          <w:sz w:val="28"/>
          <w:szCs w:val="28"/>
          <w:lang w:eastAsia="de-DE"/>
        </w:rPr>
      </w:pPr>
      <w:r>
        <w:rPr>
          <w:rFonts w:eastAsia="Times New Roman" w:cs="Arial" w:ascii="Arial" w:hAnsi="Arial"/>
          <w:b/>
          <w:bCs/>
          <w:color w:val="2D2D2D"/>
          <w:sz w:val="28"/>
          <w:szCs w:val="28"/>
          <w:lang w:eastAsia="de-DE"/>
        </w:rPr>
        <w:t>Dohoda o skončení pracovného pomeru</w:t>
      </w:r>
    </w:p>
    <w:p>
      <w:pPr>
        <w:pStyle w:val="ListParagraph"/>
        <w:spacing w:lineRule="auto" w:line="240" w:before="0" w:after="215"/>
        <w:ind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Zmluvné strany</w:t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zamestnávateľ: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názov: . . . . . . . . . . . . . . . . . . . . . . . . . . . . . . . . . . . . . . . . . . . . . . . . . . . . . . . .</w:t>
        <w:br/>
        <w:t>sídlo: . . . . . . . . . . . . . . . . . . . . . . . . . . . . . . . . . . . . . . . . . . . . . . . . . . . . . . . . .</w:t>
        <w:br/>
        <w:t>IČO: . . . . . . . . . . . . . . . . . . . . . . . . . . . . . . . . . . . . . . . . . . . . . . . . . . . . . . . . .</w:t>
        <w:br/>
        <w:t>zapísaný v registri Okresného súdu: . . . . . . . . . . . . . . . . . . . . . . . . . . . . . . . .</w:t>
        <w:br/>
        <w:t>zastúpený: . . . . . . . . . . . . . . . . . . . . . . . . . . . . . . . . . . . . . . . . . . . . . . . . . . . .</w:t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zamestnanec: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meno a priezvisko: . . . . . . . . . . . . . . . . . . . . . . . . . . . . . . . . . . . . . . . . . . . . . .</w:t>
        <w:br/>
        <w:t>bytom: . . . . . . . . . . . . . . . . . . . . . . . . . . . . . . . . . . . . . . . . . . . . . . . . . . . . . . . .</w:t>
        <w:br/>
        <w:t>dátum narodenia: . . . . . . . . . . . . . . . . . . . . . . . . . . . . . . . . . . . . . . . . . . . . . . .</w:t>
        <w:br/>
        <w:t>číslo OP: . . . . . . . . . . . . . . . . . . . . . . . . . . . . . . . . . . . . . . . . . . . . . . . . . . . . . .</w:t>
        <w:br/>
        <w:t>št. príslušnosť: . . . . . . . . . . . . . . . . . . . . . . . . . . . . . . . . . . . . . . . . . . . . . . . . . .</w:t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cs="Arial" w:ascii="Arial" w:hAnsi="Arial"/>
          <w:sz w:val="24"/>
          <w:szCs w:val="24"/>
        </w:rPr>
        <w:t>v zmysle zákona č. 311/2001 Z.z. Zákonníka práce (ďalej ako „Zákonník práce“) uzavreli dnešného dňa dohodu o skočení pracovného pomeru nasledovne:</w:t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</w:r>
    </w:p>
    <w:p>
      <w:pPr>
        <w:pStyle w:val="ListParagraph"/>
        <w:spacing w:lineRule="auto" w:line="240" w:before="0" w:after="215"/>
        <w:ind w:left="780" w:hanging="0"/>
        <w:contextualSpacing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2D2D2D"/>
          <w:sz w:val="24"/>
          <w:szCs w:val="24"/>
          <w:lang w:eastAsia="de-DE"/>
        </w:rPr>
        <w:t xml:space="preserve">                                        </w:t>
      </w:r>
      <w:r>
        <w:rPr>
          <w:rFonts w:eastAsia="Times New Roman" w:cs="Arial" w:ascii="Arial" w:hAnsi="Arial"/>
          <w:b/>
          <w:bCs/>
          <w:color w:val="2D2D2D"/>
          <w:sz w:val="24"/>
          <w:szCs w:val="24"/>
          <w:lang w:eastAsia="de-DE"/>
        </w:rPr>
        <w:t>Predmet dohody</w:t>
      </w:r>
    </w:p>
    <w:p>
      <w:pPr>
        <w:pStyle w:val="Normal"/>
        <w:spacing w:lineRule="auto" w:line="240" w:before="0" w:after="107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Zamestnanec a zamestnávateľ sa dohodli, že touto dohodou rozväzujú pracovný pomer uzatvorený pracovnou zmluvou zo dňa……………. č. . . . . . . . . . . Pracovný pomer skončí dňom . . . . . . . . . . . . . . .</w:t>
      </w:r>
    </w:p>
    <w:p>
      <w:pPr>
        <w:pStyle w:val="Normal"/>
        <w:spacing w:lineRule="auto" w:line="240" w:before="0" w:after="215"/>
        <w:jc w:val="center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2D2D2D"/>
          <w:sz w:val="24"/>
          <w:szCs w:val="24"/>
          <w:lang w:eastAsia="de-DE"/>
        </w:rPr>
        <w:br/>
        <w:t>Záverečné ustanovenia</w:t>
      </w:r>
    </w:p>
    <w:p>
      <w:pPr>
        <w:pStyle w:val="Normal"/>
        <w:spacing w:lineRule="auto" w:line="240" w:before="0" w:after="107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 xml:space="preserve">Táto dohoda nadobúda platnosť a účinnosť dňom jej podpisu </w:t>
      </w:r>
      <w:r>
        <w:rPr>
          <w:rFonts w:cs="Arial" w:ascii="Arial" w:hAnsi="Arial"/>
          <w:sz w:val="24"/>
          <w:szCs w:val="24"/>
        </w:rPr>
        <w:t xml:space="preserve">účastníkmi dohody. </w:t>
      </w: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Dohoda je vyhotovená vo dvoch vyhotoveniach, pričom každé vyhotovenie má platnosť originálu. K</w:t>
      </w:r>
      <w:r>
        <w:rPr>
          <w:rFonts w:cs="Arial" w:ascii="Arial" w:hAnsi="Arial"/>
          <w:sz w:val="24"/>
          <w:szCs w:val="24"/>
        </w:rPr>
        <w:t xml:space="preserve">aždý z účastníkov dohody dostane jedno vyhotovenie. Účastníci vyhlasujú </w:t>
      </w: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si dohodu prečítali, porozumeli jej obsahu, právam  a povinnostiam ktoré z nej vyplývajú,  pričom tuto dohodu neuzavreli ju  pod nátlakom.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 xml:space="preserve"> </w:t>
      </w:r>
    </w:p>
    <w:p>
      <w:pPr>
        <w:pStyle w:val="Normal"/>
        <w:spacing w:lineRule="auto" w:line="240" w:before="0" w:after="215"/>
        <w:jc w:val="both"/>
        <w:rPr>
          <w:rFonts w:ascii="Arial" w:hAnsi="Arial" w:eastAsia="Times New Roman" w:cs="Arial"/>
          <w:color w:val="2D2D2D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V . . . . . . . . . . . . . . . . .. . . dňa . . . . . . . . . .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 xml:space="preserve"> 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. . . . . . . . . . . . . . . . . . . . . . . . .                              . . . . . . . . . . . . . . . . . . . . . . . . .</w:t>
      </w:r>
    </w:p>
    <w:p>
      <w:pPr>
        <w:pStyle w:val="Normal"/>
        <w:spacing w:lineRule="auto" w:line="240" w:before="0" w:after="215"/>
        <w:jc w:val="both"/>
        <w:rPr/>
      </w:pP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 xml:space="preserve">      </w:t>
      </w:r>
      <w:r>
        <w:rPr>
          <w:rFonts w:eastAsia="Times New Roman" w:cs="Arial" w:ascii="Arial" w:hAnsi="Arial"/>
          <w:color w:val="2D2D2D"/>
          <w:sz w:val="24"/>
          <w:szCs w:val="24"/>
          <w:lang w:eastAsia="de-DE"/>
        </w:rPr>
        <w:t>zamestnanec                                                                    zamestnávateľ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8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f77b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ebf"/>
    <w:rPr>
      <w:b/>
      <w:bCs/>
    </w:rPr>
  </w:style>
  <w:style w:type="character" w:styleId="ListLabel1">
    <w:name w:val="ListLabel 1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f4e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475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LibreOffice/6.1.0.3$Windows_X86_64 LibreOffice_project/efb621ed25068d70781dc026f7e9c5187a4decd1</Application>
  <Pages>1</Pages>
  <Words>741</Words>
  <Characters>1446</Characters>
  <CharactersWithSpaces>2321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2019-04-06T11:39:00Z</dcterms:created>
  <dc:creator>Newportman</dc:creator>
  <dc:description/>
  <dc:language>sk-SK</dc:language>
  <cp:lastModifiedBy/>
  <dcterms:modified xsi:type="dcterms:W3CDTF">2019-04-06T18:37:37Z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